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  <w:bookmarkStart w:id="0" w:name="_GoBack"/>
      <w:bookmarkEnd w:id="0"/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14D64" w:rsidRPr="00950158" w:rsidTr="00E626D2">
        <w:tc>
          <w:tcPr>
            <w:tcW w:w="4503" w:type="dxa"/>
          </w:tcPr>
          <w:p w:rsidR="00214D64" w:rsidRPr="00950158" w:rsidRDefault="00214D64" w:rsidP="00E626D2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64" w:rsidRPr="00214D64" w:rsidTr="00E626D2">
        <w:tc>
          <w:tcPr>
            <w:tcW w:w="4503" w:type="dxa"/>
          </w:tcPr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14D64" w:rsidRPr="00214D64" w:rsidRDefault="00214D64" w:rsidP="00E626D2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t>39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>
              <w:rPr>
                <w:lang w:val="sr-Cyrl-RS"/>
              </w:rPr>
              <w:t>2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sr-Cyrl-RS"/>
              </w:rPr>
              <w:t>1</w:t>
            </w:r>
            <w:r>
              <w:t>0</w:t>
            </w:r>
            <w:r>
              <w:rPr>
                <w:lang w:val="sr-Cyrl-RS"/>
              </w:rPr>
              <w:t>.07</w:t>
            </w:r>
            <w:r w:rsidRPr="00214D64">
              <w:rPr>
                <w:lang w:val="sr-Cyrl-RS"/>
              </w:rPr>
              <w:t>.</w:t>
            </w:r>
            <w:r>
              <w:rPr>
                <w:lang w:val="ru-RU"/>
              </w:rPr>
              <w:t>2015</w:t>
            </w:r>
            <w:r w:rsidRPr="00214D64">
              <w:rPr>
                <w:lang w:val="ru-RU"/>
              </w:rPr>
              <w:t>. године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7840A4">
        <w:rPr>
          <w:b/>
          <w:sz w:val="28"/>
          <w:szCs w:val="28"/>
          <w:lang w:val="sr-Cyrl-RS"/>
        </w:rPr>
        <w:t xml:space="preserve"> 1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124/12</w:t>
      </w:r>
      <w:r w:rsidR="00E14933">
        <w:rPr>
          <w:lang w:val="sr-Cyrl-RS"/>
        </w:rPr>
        <w:t xml:space="preserve"> и 14/15</w:t>
      </w:r>
      <w:r>
        <w:rPr>
          <w:lang w:val="sr-Cyrl-RS"/>
        </w:rPr>
        <w:t xml:space="preserve">) достављамо вам </w:t>
      </w:r>
      <w:r w:rsidR="00C14FF2" w:rsidRPr="00C14FF2">
        <w:rPr>
          <w:b/>
          <w:lang w:val="sr-Cyrl-RS"/>
        </w:rPr>
        <w:t xml:space="preserve">обједињен </w:t>
      </w:r>
      <w:r w:rsidRPr="00C14FF2">
        <w:rPr>
          <w:b/>
          <w:lang w:val="sr-Cyrl-RS"/>
        </w:rPr>
        <w:t xml:space="preserve">Одговор </w:t>
      </w:r>
      <w:r w:rsidR="006D089B" w:rsidRPr="00C14FF2">
        <w:rPr>
          <w:b/>
        </w:rPr>
        <w:t>1</w:t>
      </w:r>
      <w:r w:rsidR="00E82483">
        <w:rPr>
          <w:b/>
          <w:lang w:val="sr-Cyrl-RS"/>
        </w:rPr>
        <w:t xml:space="preserve"> 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>е за додатним информацијама или појашњењима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B80FB8">
        <w:rPr>
          <w:lang w:val="sr-Cyrl-RS"/>
        </w:rPr>
        <w:t xml:space="preserve">понуде за јавну набавку услуга </w:t>
      </w:r>
      <w:r w:rsidR="008651F2">
        <w:rPr>
          <w:lang w:val="sr-Cyrl-RS"/>
        </w:rPr>
        <w:t xml:space="preserve"> превођења</w:t>
      </w:r>
      <w:r w:rsidR="006D089B">
        <w:rPr>
          <w:rFonts w:eastAsia="Times New Roman"/>
          <w:lang w:val="sr-Cyrl-RS"/>
        </w:rPr>
        <w:t>, број ЈН О- 1/2015</w:t>
      </w:r>
      <w:r>
        <w:rPr>
          <w:rFonts w:eastAsia="Times New Roman"/>
          <w:lang w:val="sr-Cyrl-RS"/>
        </w:rPr>
        <w:t>:</w:t>
      </w:r>
      <w:r>
        <w:rPr>
          <w:rFonts w:eastAsia="Times New Roman"/>
          <w:lang w:val="sr-Cyrl-RS"/>
        </w:rPr>
        <w:tab/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C14FF2" w:rsidP="00C14FF2">
      <w:pPr>
        <w:jc w:val="both"/>
        <w:rPr>
          <w:b/>
          <w:u w:val="single"/>
          <w:lang w:val="sr-Cyrl-RS"/>
        </w:rPr>
      </w:pPr>
      <w:r w:rsidRPr="00C14FF2">
        <w:rPr>
          <w:b/>
          <w:highlight w:val="lightGray"/>
          <w:u w:val="single"/>
          <w:lang w:val="sr-Cyrl-RS"/>
        </w:rPr>
        <w:t>ПИТАЊЕ БРОЈ 1</w:t>
      </w:r>
    </w:p>
    <w:p w:rsidR="005C79D2" w:rsidRPr="00C14FF2" w:rsidRDefault="005C79D2" w:rsidP="00C14FF2">
      <w:pPr>
        <w:jc w:val="both"/>
        <w:rPr>
          <w:b/>
          <w:color w:val="auto"/>
          <w:u w:val="single"/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1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Молимо да дефинишете појам ''стране'' писаног превода (без овере судског тумача) – да ли је у питању обрачун од 1.500 карактера без прореда или 1.800 карактера са проредима. Такође, молимо да дефинишете појам ''стране'' писаног превода са овером судског тумача – да ли је у питању физичка страна или је обрачун по броју карактера (1.500 карактера без прореда или 1.800 карактера са проредима).</w:t>
      </w:r>
    </w:p>
    <w:p w:rsidR="00410218" w:rsidRPr="005C79D2" w:rsidRDefault="00C14FF2" w:rsidP="00410218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1:</w:t>
      </w:r>
    </w:p>
    <w:p w:rsidR="00410218" w:rsidRDefault="00410218" w:rsidP="00410218">
      <w:pPr>
        <w:spacing w:after="120"/>
        <w:jc w:val="both"/>
        <w:rPr>
          <w:rFonts w:eastAsia="Times New Roman"/>
          <w:lang w:val="sr-Cyrl-RS"/>
        </w:rPr>
      </w:pPr>
      <w:r w:rsidRPr="00410218">
        <w:rPr>
          <w:rFonts w:eastAsia="Times New Roman"/>
          <w:lang w:val="sr-Cyrl-RS"/>
        </w:rPr>
        <w:t>Страна писаног превода подразумева 1800 карактера са проредима.</w:t>
      </w:r>
    </w:p>
    <w:p w:rsidR="00C14FF2" w:rsidRPr="005C79D2" w:rsidRDefault="00E82483" w:rsidP="00C14FF2">
      <w:pPr>
        <w:spacing w:after="120"/>
        <w:jc w:val="both"/>
        <w:rPr>
          <w:rFonts w:eastAsia="Times New Roman"/>
          <w:lang w:val="sr-Cyrl-RS"/>
        </w:rPr>
      </w:pPr>
      <w:r>
        <w:rPr>
          <w:lang w:val="sr-Cyrl-RS"/>
        </w:rPr>
        <w:t xml:space="preserve">Страна писаног превода са овером судског тумача подразумева </w:t>
      </w:r>
      <w:r w:rsidRPr="00410218">
        <w:rPr>
          <w:rFonts w:eastAsia="Times New Roman"/>
          <w:lang w:val="sr-Cyrl-RS"/>
        </w:rPr>
        <w:t>1800 карактера са проредима</w:t>
      </w:r>
      <w:r>
        <w:rPr>
          <w:rFonts w:eastAsia="Times New Roman"/>
          <w:lang w:val="sr-Cyrl-RS"/>
        </w:rPr>
        <w:t>.</w:t>
      </w:r>
    </w:p>
    <w:p w:rsidR="00C14FF2" w:rsidRDefault="00C14FF2" w:rsidP="00C14FF2">
      <w:pPr>
        <w:jc w:val="both"/>
        <w:rPr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2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Консекутивни превод: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У конкурсној документацији стоји да је један преводилац у обавези да активно и квалитетно консекутивно преводи највише 8 сати дневно.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Ниједан преводилац не може да се обавеже да ће квалит</w:t>
      </w:r>
      <w:r w:rsidR="00BB4E33">
        <w:rPr>
          <w:lang w:val="sr-Cyrl-RS"/>
        </w:rPr>
        <w:t>е</w:t>
      </w:r>
      <w:r>
        <w:rPr>
          <w:lang w:val="sr-Cyrl-RS"/>
        </w:rPr>
        <w:t>тно преводити 8 сати. У пракси се за сваки консекутивни превод који траје дуже од 2 сата морају ангажовати два преводиоца која наизменично преводе и за које се обрачунава надокнада за укупно време проведено на састанку/радионици без обзира на то да ли су активно преводили.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Симултани превод: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У конкурсној документацији стоји да је један преводилац у обавези да активно и квалитетно симултано преводи највише 8 сати дневно.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lastRenderedPageBreak/>
        <w:t>Симултано превођење подразумева ангажовање два преводиоца која наизменично преводе и за које се обрачунава надокнада за укупно време проведено на састанку/радионици без обзира на то да ли су активно преводили.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Молимо да у односу на горе наведено размотрите измену конкурсне документације.</w:t>
      </w:r>
    </w:p>
    <w:p w:rsidR="00BB4E33" w:rsidRPr="005C79D2" w:rsidRDefault="00BB4E33" w:rsidP="00BB4E33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2:</w:t>
      </w:r>
    </w:p>
    <w:p w:rsidR="00D02F61" w:rsidRPr="00D02F61" w:rsidRDefault="00D02F61" w:rsidP="00BB4E33">
      <w:pPr>
        <w:spacing w:after="120"/>
        <w:jc w:val="both"/>
        <w:rPr>
          <w:rFonts w:eastAsia="Times New Roman"/>
          <w:lang w:val="sr-Cyrl-RS"/>
        </w:rPr>
      </w:pPr>
      <w:r w:rsidRPr="00D02F61">
        <w:rPr>
          <w:rFonts w:eastAsia="Times New Roman"/>
          <w:lang w:val="sr-Cyrl-RS"/>
        </w:rPr>
        <w:t>Наручилац остаје при захтеву наведеном у конкурсној документацији.</w:t>
      </w:r>
    </w:p>
    <w:p w:rsidR="00BB4E33" w:rsidRDefault="00BB4E33" w:rsidP="00C14FF2">
      <w:pPr>
        <w:jc w:val="both"/>
        <w:rPr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3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У конкурсној документацији се наводи да један дан подразумева највише 8 сати превођења, али се не наводи који је најмањи број сати који се рачуна у дан превођења. Молимо вас да разјасните до ког броја сати се вр</w:t>
      </w:r>
      <w:r w:rsidR="00D02F61">
        <w:rPr>
          <w:lang w:val="sr-Cyrl-RS"/>
        </w:rPr>
        <w:t>ши обрачун по сату, а од ког сат</w:t>
      </w:r>
      <w:r>
        <w:rPr>
          <w:lang w:val="sr-Cyrl-RS"/>
        </w:rPr>
        <w:t>а почиње обрачун по дану.</w:t>
      </w:r>
    </w:p>
    <w:p w:rsidR="00D02F61" w:rsidRPr="005C79D2" w:rsidRDefault="00D02F61" w:rsidP="00D02F61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3:</w:t>
      </w:r>
    </w:p>
    <w:p w:rsidR="00782CB2" w:rsidRPr="00782CB2" w:rsidRDefault="00782CB2" w:rsidP="00D02F61">
      <w:pPr>
        <w:spacing w:after="120"/>
        <w:jc w:val="both"/>
        <w:rPr>
          <w:rFonts w:eastAsia="Times New Roman"/>
          <w:lang w:val="sr-Cyrl-RS"/>
        </w:rPr>
      </w:pPr>
      <w:r w:rsidRPr="00782CB2">
        <w:rPr>
          <w:rFonts w:eastAsia="Times New Roman"/>
          <w:lang w:val="sr-Cyrl-RS"/>
        </w:rPr>
        <w:t>У досадашњој пракси, минималан број сати износио је 4 или 5 сати, тако да се обрачун врши по дану, без обзира да ли је у питању 4 или 8 сати.</w:t>
      </w:r>
    </w:p>
    <w:p w:rsidR="00D02F61" w:rsidRDefault="00782CB2" w:rsidP="00C14FF2">
      <w:pPr>
        <w:jc w:val="both"/>
        <w:rPr>
          <w:lang w:val="sr-Cyrl-RS"/>
        </w:rPr>
      </w:pPr>
      <w:r>
        <w:rPr>
          <w:lang w:val="sr-Cyrl-RS"/>
        </w:rPr>
        <w:t xml:space="preserve"> За временски период краћи од 4 сата, обрачун се врши по сату.</w:t>
      </w:r>
    </w:p>
    <w:p w:rsidR="00782CB2" w:rsidRDefault="00782CB2" w:rsidP="00C14FF2">
      <w:pPr>
        <w:jc w:val="both"/>
        <w:rPr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4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На страни 28 конкурсне документације објашњава се начин фактурисања за језике који нису дати у оквиру ове понуде, и то према редовном ценовнику понуђача.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Да ли је у оквиру понуде потребно доставити овај ценовник?</w:t>
      </w:r>
    </w:p>
    <w:p w:rsidR="007840A4" w:rsidRDefault="007840A4" w:rsidP="00C14FF2">
      <w:pPr>
        <w:jc w:val="both"/>
        <w:rPr>
          <w:lang w:val="sr-Cyrl-RS"/>
        </w:rPr>
      </w:pPr>
    </w:p>
    <w:p w:rsidR="00B572E6" w:rsidRDefault="00B572E6" w:rsidP="00B572E6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4:</w:t>
      </w:r>
    </w:p>
    <w:p w:rsidR="005C79D2" w:rsidRPr="007840A4" w:rsidRDefault="007840A4" w:rsidP="00B572E6">
      <w:pPr>
        <w:spacing w:after="120"/>
        <w:jc w:val="both"/>
        <w:rPr>
          <w:rFonts w:eastAsia="Times New Roman"/>
          <w:lang w:val="sr-Cyrl-RS"/>
        </w:rPr>
      </w:pPr>
      <w:r w:rsidRPr="007840A4">
        <w:rPr>
          <w:rFonts w:eastAsia="Times New Roman"/>
          <w:lang w:val="sr-Cyrl-RS"/>
        </w:rPr>
        <w:t>У оквиру понуде није потребно доставити ценовник.</w:t>
      </w:r>
    </w:p>
    <w:p w:rsidR="00B572E6" w:rsidRDefault="00B572E6" w:rsidP="00B572E6">
      <w:pPr>
        <w:spacing w:after="120"/>
        <w:jc w:val="both"/>
        <w:rPr>
          <w:rFonts w:eastAsia="Times New Roman"/>
          <w:b/>
          <w:u w:val="single"/>
          <w:lang w:val="sr-Cyrl-RS"/>
        </w:rPr>
      </w:pPr>
    </w:p>
    <w:p w:rsidR="00B572E6" w:rsidRDefault="00B572E6" w:rsidP="00C14FF2">
      <w:pPr>
        <w:jc w:val="both"/>
        <w:rPr>
          <w:lang w:val="sr-Cyrl-RS"/>
        </w:rPr>
      </w:pPr>
    </w:p>
    <w:p w:rsidR="00B572E6" w:rsidRDefault="00B572E6" w:rsidP="00C14FF2">
      <w:pPr>
        <w:jc w:val="both"/>
        <w:rPr>
          <w:lang w:val="sr-Cyrl-RS"/>
        </w:rPr>
      </w:pPr>
    </w:p>
    <w:p w:rsidR="00C14FF2" w:rsidRDefault="00C14FF2" w:rsidP="00C14FF2">
      <w:pPr>
        <w:jc w:val="both"/>
        <w:rPr>
          <w:b/>
          <w:lang w:val="sr-Cyrl-RS"/>
        </w:rPr>
      </w:pPr>
      <w:r w:rsidRPr="00B572E6">
        <w:rPr>
          <w:b/>
          <w:highlight w:val="lightGray"/>
          <w:lang w:val="sr-Cyrl-RS"/>
        </w:rPr>
        <w:t>ПИТАЊЕ БРОЈ 2</w:t>
      </w:r>
    </w:p>
    <w:p w:rsidR="005C79D2" w:rsidRPr="00B572E6" w:rsidRDefault="005C79D2" w:rsidP="00C14FF2">
      <w:pPr>
        <w:jc w:val="both"/>
        <w:rPr>
          <w:b/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1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Као доказ финансијског капацитета, конкурсном документацијом се тражи да се достави Извештај о бонитету за јавне набавке за 2012, 2013. и 2014. годину.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Агенција за привредне регистре још није обрадила финансијске извештаје за 2014. те стога није могуће доставити тражени доказ.</w:t>
      </w:r>
    </w:p>
    <w:p w:rsidR="00C14FF2" w:rsidRDefault="00C14FF2" w:rsidP="00C14FF2">
      <w:pPr>
        <w:jc w:val="both"/>
        <w:rPr>
          <w:lang w:val="sr-Cyrl-RS"/>
        </w:rPr>
      </w:pPr>
      <w:r>
        <w:rPr>
          <w:lang w:val="sr-Cyrl-RS"/>
        </w:rPr>
        <w:t>Да ли је у реду да се као доказ достави Извештај о бонитету за јавне набавке за 2011, 2012, и 2013. годину не старији од 6 месеци, као и да завршни рачун за 2014. који је предат у АПР заједно са потврдом о предаји финансијског извештаја?</w:t>
      </w:r>
    </w:p>
    <w:p w:rsidR="005C79D2" w:rsidRDefault="005C79D2" w:rsidP="00C14FF2">
      <w:pPr>
        <w:jc w:val="both"/>
        <w:rPr>
          <w:lang w:val="sr-Cyrl-RS"/>
        </w:rPr>
      </w:pPr>
    </w:p>
    <w:p w:rsidR="00B572E6" w:rsidRPr="005C79D2" w:rsidRDefault="00B572E6" w:rsidP="00B572E6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1:</w:t>
      </w:r>
    </w:p>
    <w:p w:rsidR="00B572E6" w:rsidRDefault="00B572E6" w:rsidP="00B572E6">
      <w:pPr>
        <w:spacing w:after="120"/>
        <w:jc w:val="both"/>
        <w:rPr>
          <w:lang w:val="sr-Cyrl-RS"/>
        </w:rPr>
      </w:pPr>
      <w:r>
        <w:rPr>
          <w:lang w:val="sr-Cyrl-RS"/>
        </w:rPr>
        <w:t>Као доказ финансијског капацитета, конкурсном документацијом се тражи да се достави Извештај о бонитету за јавне набавке за 2012, 2013.</w:t>
      </w:r>
      <w:r w:rsidRPr="00B572E6">
        <w:rPr>
          <w:lang w:val="sr-Cyrl-RS"/>
        </w:rPr>
        <w:t xml:space="preserve"> </w:t>
      </w:r>
      <w:r>
        <w:rPr>
          <w:lang w:val="sr-Cyrl-RS"/>
        </w:rPr>
        <w:t>и 2014. годину.</w:t>
      </w:r>
    </w:p>
    <w:p w:rsidR="00B572E6" w:rsidRDefault="00B572E6" w:rsidP="00B572E6">
      <w:pPr>
        <w:spacing w:after="120"/>
        <w:jc w:val="both"/>
        <w:rPr>
          <w:rFonts w:eastAsia="Times New Roman"/>
          <w:b/>
          <w:u w:val="single"/>
          <w:lang w:val="sr-Cyrl-RS"/>
        </w:rPr>
      </w:pPr>
      <w:r>
        <w:rPr>
          <w:lang w:val="sr-Cyrl-RS"/>
        </w:rPr>
        <w:t>За 2014.годину уместо Извештаја о бонитету, доставите  Биланс стања и успеха.</w:t>
      </w:r>
    </w:p>
    <w:p w:rsidR="00B572E6" w:rsidRDefault="00B572E6" w:rsidP="00C14FF2">
      <w:pPr>
        <w:jc w:val="both"/>
        <w:rPr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214D64" w:rsidRDefault="00214D64" w:rsidP="00AA7630">
      <w:pPr>
        <w:rPr>
          <w:rFonts w:ascii="Calibri" w:hAnsi="Calibri"/>
          <w:color w:val="1F497D"/>
          <w:sz w:val="22"/>
          <w:szCs w:val="22"/>
        </w:rPr>
      </w:pPr>
    </w:p>
    <w:p w:rsidR="00813608" w:rsidRDefault="00813608"/>
    <w:sectPr w:rsidR="00813608" w:rsidSect="00824E55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7"/>
    <w:rsid w:val="00022D64"/>
    <w:rsid w:val="000F1EAB"/>
    <w:rsid w:val="00214D64"/>
    <w:rsid w:val="00410218"/>
    <w:rsid w:val="004B645E"/>
    <w:rsid w:val="005C79D2"/>
    <w:rsid w:val="006D089B"/>
    <w:rsid w:val="00782CB2"/>
    <w:rsid w:val="007840A4"/>
    <w:rsid w:val="00813608"/>
    <w:rsid w:val="00824E55"/>
    <w:rsid w:val="008651F2"/>
    <w:rsid w:val="00932926"/>
    <w:rsid w:val="009A5318"/>
    <w:rsid w:val="00AA7630"/>
    <w:rsid w:val="00B572E6"/>
    <w:rsid w:val="00B80FB8"/>
    <w:rsid w:val="00B84910"/>
    <w:rsid w:val="00BB4E33"/>
    <w:rsid w:val="00C14FF2"/>
    <w:rsid w:val="00D02F61"/>
    <w:rsid w:val="00DD4E87"/>
    <w:rsid w:val="00E14933"/>
    <w:rsid w:val="00E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886D-1693-408F-A9DD-834747CA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Odsek za javne nabavke</cp:lastModifiedBy>
  <cp:revision>2</cp:revision>
  <cp:lastPrinted>2015-07-10T12:41:00Z</cp:lastPrinted>
  <dcterms:created xsi:type="dcterms:W3CDTF">2015-07-10T12:49:00Z</dcterms:created>
  <dcterms:modified xsi:type="dcterms:W3CDTF">2015-07-10T12:49:00Z</dcterms:modified>
</cp:coreProperties>
</file>